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E9" w:rsidRDefault="004823E9">
      <w:pPr>
        <w:tabs>
          <w:tab w:val="center" w:pos="4819"/>
          <w:tab w:val="right" w:pos="9638"/>
        </w:tabs>
        <w:suppressAutoHyphens/>
        <w:rPr>
          <w:szCs w:val="24"/>
        </w:rPr>
      </w:pPr>
    </w:p>
    <w:p w:rsidR="004823E9" w:rsidRDefault="00131094">
      <w:pPr>
        <w:suppressAutoHyphens/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2C9867B" wp14:editId="5838CC7D">
            <wp:extent cx="533400" cy="615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3E9" w:rsidRDefault="004823E9">
      <w:pPr>
        <w:suppressAutoHyphens/>
        <w:jc w:val="center"/>
        <w:rPr>
          <w:b/>
          <w:caps/>
          <w:szCs w:val="24"/>
        </w:rPr>
      </w:pPr>
    </w:p>
    <w:p w:rsidR="004823E9" w:rsidRDefault="00131094">
      <w:pPr>
        <w:suppressAutoHyphens/>
        <w:jc w:val="center"/>
        <w:rPr>
          <w:b/>
          <w:caps/>
          <w:szCs w:val="24"/>
        </w:rPr>
      </w:pPr>
      <w:r>
        <w:rPr>
          <w:b/>
          <w:caps/>
          <w:szCs w:val="24"/>
        </w:rPr>
        <w:t>mobilizacijos ir pilietinio pasipriešinimo departamentO</w:t>
      </w:r>
    </w:p>
    <w:p w:rsidR="004823E9" w:rsidRDefault="00131094">
      <w:pPr>
        <w:suppressAutoHyphens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prie krašto apsaugos ministerijos </w:t>
      </w:r>
    </w:p>
    <w:p w:rsidR="004823E9" w:rsidRDefault="00131094">
      <w:pPr>
        <w:suppressAutoHyphens/>
        <w:jc w:val="center"/>
        <w:rPr>
          <w:b/>
          <w:caps/>
          <w:szCs w:val="24"/>
        </w:rPr>
      </w:pPr>
      <w:r>
        <w:rPr>
          <w:b/>
          <w:caps/>
          <w:szCs w:val="24"/>
        </w:rPr>
        <w:t>DIREKTORIUS</w:t>
      </w:r>
    </w:p>
    <w:p w:rsidR="004823E9" w:rsidRDefault="004823E9">
      <w:pPr>
        <w:suppressAutoHyphens/>
        <w:rPr>
          <w:szCs w:val="24"/>
        </w:rPr>
      </w:pPr>
    </w:p>
    <w:p w:rsidR="004823E9" w:rsidRDefault="00131094">
      <w:pPr>
        <w:keepLines/>
        <w:suppressAutoHyphens/>
        <w:jc w:val="center"/>
        <w:textAlignment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įsakymas</w:t>
      </w:r>
    </w:p>
    <w:p w:rsidR="004823E9" w:rsidRDefault="00131094">
      <w:pPr>
        <w:keepLines/>
        <w:suppressAutoHyphens/>
        <w:jc w:val="center"/>
        <w:textAlignment w:val="center"/>
        <w:rPr>
          <w:b/>
          <w:color w:val="000000"/>
          <w:szCs w:val="24"/>
        </w:rPr>
      </w:pPr>
      <w:r>
        <w:rPr>
          <w:b/>
          <w:caps/>
          <w:szCs w:val="24"/>
        </w:rPr>
        <w:t xml:space="preserve">DĖL </w:t>
      </w:r>
      <w:r>
        <w:rPr>
          <w:b/>
          <w:color w:val="000000"/>
          <w:szCs w:val="24"/>
        </w:rPr>
        <w:t xml:space="preserve">PILIETINIO PASIPRIEŠINIMO KURSO </w:t>
      </w:r>
    </w:p>
    <w:p w:rsidR="004823E9" w:rsidRDefault="00131094">
      <w:pPr>
        <w:keepLines/>
        <w:suppressAutoHyphens/>
        <w:jc w:val="center"/>
        <w:textAlignment w:val="center"/>
        <w:rPr>
          <w:b/>
          <w:bCs/>
          <w:caps/>
          <w:color w:val="000000"/>
          <w:szCs w:val="24"/>
        </w:rPr>
      </w:pPr>
      <w:r>
        <w:rPr>
          <w:b/>
          <w:color w:val="000000"/>
          <w:szCs w:val="24"/>
        </w:rPr>
        <w:t>IŠKLAUSYMO TVARKOS APRAŠO</w:t>
      </w:r>
    </w:p>
    <w:p w:rsidR="004823E9" w:rsidRDefault="00131094">
      <w:pPr>
        <w:keepLines/>
        <w:suppressAutoHyphens/>
        <w:jc w:val="center"/>
        <w:textAlignment w:val="center"/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patvirtinimo</w:t>
      </w:r>
    </w:p>
    <w:p w:rsidR="004823E9" w:rsidRDefault="004823E9">
      <w:pPr>
        <w:keepLines/>
        <w:suppressAutoHyphens/>
        <w:jc w:val="center"/>
        <w:textAlignment w:val="center"/>
        <w:rPr>
          <w:bCs/>
          <w:caps/>
          <w:color w:val="000000"/>
          <w:szCs w:val="24"/>
          <w:lang w:eastAsia="lt-LT"/>
        </w:rPr>
      </w:pPr>
    </w:p>
    <w:p w:rsidR="004823E9" w:rsidRPr="00131094" w:rsidRDefault="00131094">
      <w:pPr>
        <w:keepLines/>
        <w:suppressAutoHyphens/>
        <w:jc w:val="center"/>
        <w:textAlignment w:val="center"/>
        <w:rPr>
          <w:bCs/>
          <w:caps/>
          <w:color w:val="000000"/>
          <w:szCs w:val="24"/>
          <w:lang w:eastAsia="lt-LT"/>
        </w:rPr>
      </w:pPr>
      <w:r>
        <w:rPr>
          <w:bCs/>
          <w:caps/>
          <w:color w:val="000000"/>
          <w:szCs w:val="24"/>
          <w:lang w:eastAsia="lt-LT"/>
        </w:rPr>
        <w:t xml:space="preserve">2024 </w:t>
      </w:r>
      <w:r>
        <w:rPr>
          <w:bCs/>
          <w:color w:val="000000"/>
          <w:szCs w:val="24"/>
          <w:lang w:eastAsia="lt-LT"/>
        </w:rPr>
        <w:t xml:space="preserve">m. sausio </w:t>
      </w:r>
      <w:r>
        <w:rPr>
          <w:bCs/>
          <w:color w:val="000000"/>
          <w:szCs w:val="24"/>
          <w:lang w:val="en-US" w:eastAsia="lt-LT"/>
        </w:rPr>
        <w:t>8</w:t>
      </w:r>
      <w:r>
        <w:rPr>
          <w:bCs/>
          <w:color w:val="000000"/>
          <w:szCs w:val="24"/>
          <w:lang w:eastAsia="lt-LT"/>
        </w:rPr>
        <w:t xml:space="preserve"> d. </w:t>
      </w:r>
      <w:r w:rsidRPr="00131094">
        <w:rPr>
          <w:bCs/>
        </w:rPr>
        <w:t>V-1</w:t>
      </w:r>
    </w:p>
    <w:p w:rsidR="004823E9" w:rsidRDefault="00131094">
      <w:pPr>
        <w:keepLines/>
        <w:suppressAutoHyphens/>
        <w:jc w:val="center"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Vilnius</w:t>
      </w:r>
    </w:p>
    <w:p w:rsidR="004823E9" w:rsidRDefault="004823E9">
      <w:pPr>
        <w:suppressAutoHyphens/>
        <w:ind w:firstLine="567"/>
        <w:jc w:val="both"/>
        <w:rPr>
          <w:szCs w:val="24"/>
        </w:rPr>
      </w:pPr>
    </w:p>
    <w:p w:rsidR="004823E9" w:rsidRDefault="004823E9">
      <w:pPr>
        <w:suppressAutoHyphens/>
        <w:ind w:firstLine="567"/>
        <w:jc w:val="both"/>
        <w:rPr>
          <w:szCs w:val="24"/>
        </w:rPr>
      </w:pPr>
    </w:p>
    <w:p w:rsidR="004823E9" w:rsidRDefault="00131094">
      <w:pPr>
        <w:suppressAutoHyphens/>
        <w:spacing w:line="276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>Vadovaudamasis Lietuvos Respublikos ginklų ir šaudmenų kontrolės įstatymo 13 straipsnio 15 dalimi, Lietuvos Respublikos krašto apsaugos ministro 2023 m. gruodžio 11 d. įsakymu Nr. V-995 „</w:t>
      </w:r>
      <w:r>
        <w:rPr>
          <w:color w:val="000000"/>
        </w:rPr>
        <w:t xml:space="preserve">Dėl įgaliojimo </w:t>
      </w:r>
      <w:r>
        <w:rPr>
          <w:color w:val="000000"/>
        </w:rPr>
        <w:t>suteikimo Mobilizacijos ir pilietinio pasipriešinimo departamentui prie Krašto apsaugos ministerijos“,</w:t>
      </w:r>
    </w:p>
    <w:p w:rsidR="004823E9" w:rsidRDefault="00131094" w:rsidP="00131094">
      <w:pPr>
        <w:suppressAutoHyphens/>
        <w:spacing w:line="276" w:lineRule="auto"/>
        <w:ind w:firstLine="629"/>
        <w:jc w:val="both"/>
        <w:rPr>
          <w:szCs w:val="24"/>
        </w:rPr>
      </w:pPr>
      <w:r>
        <w:rPr>
          <w:color w:val="000000"/>
          <w:spacing w:val="60"/>
          <w:szCs w:val="24"/>
        </w:rPr>
        <w:t>tvirtinu </w:t>
      </w:r>
      <w:r>
        <w:rPr>
          <w:color w:val="000000"/>
          <w:spacing w:val="-2"/>
          <w:szCs w:val="24"/>
        </w:rPr>
        <w:t>Pilietinio pasipriešinimo kurso išklausymo tvarkos aprašą (pridedama).</w:t>
      </w:r>
    </w:p>
    <w:p w:rsidR="00131094" w:rsidRDefault="00131094" w:rsidP="00131094">
      <w:pPr>
        <w:tabs>
          <w:tab w:val="left" w:pos="6237"/>
        </w:tabs>
        <w:suppressAutoHyphens/>
        <w:spacing w:line="276" w:lineRule="auto"/>
        <w:jc w:val="both"/>
      </w:pPr>
    </w:p>
    <w:p w:rsidR="00131094" w:rsidRDefault="00131094" w:rsidP="00131094">
      <w:pPr>
        <w:tabs>
          <w:tab w:val="left" w:pos="6237"/>
        </w:tabs>
        <w:suppressAutoHyphens/>
        <w:spacing w:line="276" w:lineRule="auto"/>
        <w:jc w:val="both"/>
      </w:pPr>
    </w:p>
    <w:p w:rsidR="00131094" w:rsidRDefault="00131094" w:rsidP="00131094">
      <w:pPr>
        <w:tabs>
          <w:tab w:val="left" w:pos="6237"/>
        </w:tabs>
        <w:suppressAutoHyphens/>
        <w:spacing w:line="276" w:lineRule="auto"/>
        <w:jc w:val="both"/>
      </w:pPr>
    </w:p>
    <w:p w:rsidR="004823E9" w:rsidRDefault="00131094" w:rsidP="00131094">
      <w:pPr>
        <w:tabs>
          <w:tab w:val="left" w:pos="6237"/>
        </w:tabs>
        <w:suppressAutoHyphens/>
        <w:spacing w:line="276" w:lineRule="auto"/>
        <w:jc w:val="both"/>
        <w:rPr>
          <w:color w:val="000000"/>
          <w:szCs w:val="24"/>
        </w:rPr>
      </w:pPr>
      <w:r>
        <w:rPr>
          <w:szCs w:val="24"/>
        </w:rPr>
        <w:t>Direktorius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Virginijus Vitalijus Vilkelis</w:t>
      </w:r>
    </w:p>
    <w:p w:rsidR="00131094" w:rsidRDefault="00131094" w:rsidP="00131094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firstLine="5103"/>
        <w:textAlignment w:val="center"/>
        <w:sectPr w:rsidR="001310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6" w:bottom="1134" w:left="1134" w:header="0" w:footer="0" w:gutter="0"/>
          <w:pgNumType w:start="0"/>
          <w:cols w:space="1296"/>
          <w:formProt w:val="0"/>
          <w:titlePg/>
          <w:docGrid w:linePitch="326"/>
        </w:sectPr>
      </w:pPr>
    </w:p>
    <w:p w:rsidR="004823E9" w:rsidRDefault="00131094" w:rsidP="00131094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firstLine="5103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PATVIRTINTA</w:t>
      </w:r>
    </w:p>
    <w:p w:rsidR="00131094" w:rsidRDefault="00131094" w:rsidP="00131094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firstLine="5103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Mobilizacijos ir pilietinio </w:t>
      </w:r>
    </w:p>
    <w:p w:rsidR="00131094" w:rsidRDefault="00131094" w:rsidP="00131094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firstLine="5103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pasipriešinimo departamento prie Krašto </w:t>
      </w:r>
    </w:p>
    <w:p w:rsidR="004823E9" w:rsidRDefault="00131094" w:rsidP="00131094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firstLine="5103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apsaugos ministerijos direktoriaus </w:t>
      </w:r>
    </w:p>
    <w:p w:rsidR="004823E9" w:rsidRDefault="00131094" w:rsidP="00131094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firstLine="5103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2024 m. sausio 8</w:t>
      </w:r>
      <w:r>
        <w:rPr>
          <w:color w:val="000000"/>
          <w:szCs w:val="24"/>
        </w:rPr>
        <w:t xml:space="preserve"> d. įsakymu Nr. V-1</w:t>
      </w:r>
    </w:p>
    <w:p w:rsidR="004823E9" w:rsidRDefault="004823E9">
      <w:pPr>
        <w:suppressAutoHyphens/>
        <w:ind w:firstLine="567"/>
        <w:jc w:val="both"/>
        <w:textAlignment w:val="center"/>
        <w:rPr>
          <w:b/>
          <w:bCs/>
          <w:color w:val="000000"/>
          <w:szCs w:val="24"/>
          <w:lang w:eastAsia="lt-LT"/>
        </w:rPr>
      </w:pPr>
    </w:p>
    <w:p w:rsidR="004823E9" w:rsidRDefault="004823E9">
      <w:pPr>
        <w:keepLines/>
        <w:suppressAutoHyphens/>
        <w:jc w:val="center"/>
        <w:textAlignment w:val="center"/>
        <w:rPr>
          <w:b/>
          <w:color w:val="000000"/>
          <w:szCs w:val="24"/>
        </w:rPr>
      </w:pPr>
    </w:p>
    <w:p w:rsidR="004823E9" w:rsidRDefault="00131094">
      <w:pPr>
        <w:keepLines/>
        <w:tabs>
          <w:tab w:val="left" w:pos="2694"/>
          <w:tab w:val="left" w:pos="3261"/>
          <w:tab w:val="left" w:pos="3402"/>
        </w:tabs>
        <w:suppressAutoHyphens/>
        <w:spacing w:line="276" w:lineRule="auto"/>
        <w:ind w:firstLine="567"/>
        <w:jc w:val="center"/>
        <w:textAlignment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PILIETINIO PASIPRIEŠINIMO KURSO IŠKLAUSYMO </w:t>
      </w:r>
    </w:p>
    <w:p w:rsidR="004823E9" w:rsidRDefault="00131094">
      <w:pPr>
        <w:keepLines/>
        <w:tabs>
          <w:tab w:val="left" w:pos="2694"/>
          <w:tab w:val="left" w:pos="3261"/>
          <w:tab w:val="left" w:pos="3402"/>
        </w:tabs>
        <w:suppressAutoHyphens/>
        <w:spacing w:line="276" w:lineRule="auto"/>
        <w:ind w:firstLine="567"/>
        <w:jc w:val="center"/>
        <w:textAlignment w:val="center"/>
        <w:rPr>
          <w:rFonts w:eastAsia="Calibri"/>
          <w:b/>
          <w:bCs/>
          <w:caps/>
          <w:color w:val="000000"/>
          <w:szCs w:val="24"/>
        </w:rPr>
      </w:pPr>
      <w:r>
        <w:rPr>
          <w:b/>
          <w:color w:val="000000"/>
          <w:szCs w:val="24"/>
        </w:rPr>
        <w:t xml:space="preserve">TVARKOS APRAŠAS </w:t>
      </w:r>
    </w:p>
    <w:p w:rsidR="004823E9" w:rsidRDefault="004823E9">
      <w:pPr>
        <w:keepLines/>
        <w:tabs>
          <w:tab w:val="left" w:pos="2694"/>
          <w:tab w:val="left" w:pos="3261"/>
          <w:tab w:val="left" w:pos="3402"/>
        </w:tabs>
        <w:suppressAutoHyphens/>
        <w:spacing w:line="276" w:lineRule="auto"/>
        <w:ind w:firstLine="567"/>
        <w:jc w:val="center"/>
        <w:textAlignment w:val="center"/>
        <w:rPr>
          <w:rFonts w:eastAsia="Calibri"/>
          <w:b/>
          <w:bCs/>
          <w:caps/>
          <w:color w:val="000000"/>
          <w:szCs w:val="24"/>
        </w:rPr>
      </w:pPr>
    </w:p>
    <w:p w:rsidR="004823E9" w:rsidRDefault="00131094">
      <w:pPr>
        <w:keepLines/>
        <w:tabs>
          <w:tab w:val="left" w:pos="2694"/>
          <w:tab w:val="left" w:pos="3261"/>
          <w:tab w:val="left" w:pos="3402"/>
        </w:tabs>
        <w:suppressAutoHyphens/>
        <w:spacing w:line="276" w:lineRule="auto"/>
        <w:ind w:firstLine="567"/>
        <w:jc w:val="center"/>
        <w:textAlignment w:val="center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>I</w:t>
      </w:r>
      <w:r>
        <w:rPr>
          <w:rFonts w:eastAsia="Calibri"/>
          <w:b/>
          <w:bCs/>
          <w:caps/>
          <w:color w:val="000000"/>
          <w:szCs w:val="24"/>
        </w:rPr>
        <w:t xml:space="preserve"> SKYRIUS</w:t>
      </w:r>
    </w:p>
    <w:p w:rsidR="004823E9" w:rsidRDefault="00131094">
      <w:pPr>
        <w:keepLines/>
        <w:tabs>
          <w:tab w:val="left" w:pos="2694"/>
          <w:tab w:val="left" w:pos="3261"/>
          <w:tab w:val="left" w:pos="3402"/>
        </w:tabs>
        <w:suppressAutoHyphens/>
        <w:spacing w:line="276" w:lineRule="auto"/>
        <w:ind w:firstLine="567"/>
        <w:jc w:val="center"/>
        <w:textAlignment w:val="center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>BENDROSIOS NUOSTATOS</w:t>
      </w:r>
    </w:p>
    <w:p w:rsidR="004823E9" w:rsidRDefault="004823E9">
      <w:pPr>
        <w:suppressAutoHyphens/>
        <w:ind w:firstLine="567"/>
        <w:jc w:val="both"/>
        <w:rPr>
          <w:bCs/>
          <w:i/>
          <w:szCs w:val="24"/>
        </w:rPr>
      </w:pPr>
    </w:p>
    <w:p w:rsidR="004823E9" w:rsidRDefault="00131094">
      <w:pPr>
        <w:suppressAutoHyphens/>
        <w:spacing w:line="276" w:lineRule="auto"/>
        <w:ind w:firstLine="709"/>
        <w:jc w:val="both"/>
        <w:rPr>
          <w:szCs w:val="24"/>
          <w:lang w:eastAsia="lt-LT"/>
        </w:rPr>
      </w:pPr>
      <w:r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. Pilietinio pasipriešinimo kurso išklausymo tvarkos aprašas </w:t>
      </w:r>
      <w:r>
        <w:rPr>
          <w:color w:val="000000"/>
          <w:szCs w:val="24"/>
          <w:lang w:eastAsia="lt-LT"/>
        </w:rPr>
        <w:t xml:space="preserve">(toliau – Aprašas) nustato fizinių asmenų, kurie </w:t>
      </w:r>
      <w:r>
        <w:rPr>
          <w:color w:val="000000"/>
        </w:rPr>
        <w:t xml:space="preserve">dėl leidimo ginklui išdavimo ar galiojimo </w:t>
      </w:r>
      <w:r>
        <w:rPr>
          <w:color w:val="000000"/>
        </w:rPr>
        <w:t>termino pratęsimo</w:t>
      </w:r>
      <w:r>
        <w:rPr>
          <w:color w:val="000000"/>
          <w:szCs w:val="24"/>
          <w:lang w:eastAsia="lt-LT"/>
        </w:rPr>
        <w:t xml:space="preserve"> privalo išklausyti pilietinio pasipriešinimo kursą (toliau – Kursas), šio Kurso išklausymo tvarką.</w:t>
      </w:r>
      <w:r>
        <w:rPr>
          <w:szCs w:val="24"/>
          <w:lang w:eastAsia="lt-LT"/>
        </w:rPr>
        <w:t xml:space="preserve"> </w:t>
      </w:r>
    </w:p>
    <w:p w:rsidR="004823E9" w:rsidRDefault="00131094">
      <w:pPr>
        <w:tabs>
          <w:tab w:val="left" w:pos="720"/>
        </w:tabs>
        <w:suppressAutoHyphens/>
        <w:spacing w:line="276" w:lineRule="auto"/>
        <w:ind w:firstLine="682"/>
        <w:jc w:val="both"/>
      </w:pPr>
      <w:r>
        <w:t>2</w:t>
      </w:r>
      <w:r>
        <w:t xml:space="preserve">. </w:t>
      </w:r>
      <w:r>
        <w:rPr>
          <w:szCs w:val="24"/>
          <w:lang w:eastAsia="lt-LT"/>
        </w:rPr>
        <w:t>Mobilizacijos ir pilietinio pasipriešinimo departamentas prie Krašto apsaugos ministerijos (toliau – MPPD prie KAM) yra nuotoliniam</w:t>
      </w:r>
      <w:r>
        <w:rPr>
          <w:szCs w:val="24"/>
          <w:lang w:eastAsia="lt-LT"/>
        </w:rPr>
        <w:t xml:space="preserve">s mokymams skirtos informacinės-edukacinės platformos, kurios adresas: </w:t>
      </w:r>
      <w:r>
        <w:rPr>
          <w:i/>
          <w:szCs w:val="24"/>
          <w:u w:val="single"/>
          <w:lang w:eastAsia="lt-LT"/>
        </w:rPr>
        <w:t>www.mobilizacijosmokykla.lt</w:t>
      </w:r>
      <w:r>
        <w:rPr>
          <w:szCs w:val="24"/>
          <w:lang w:eastAsia="lt-LT"/>
        </w:rPr>
        <w:t xml:space="preserve"> (toliau – Mobilizacijos mokykla), </w:t>
      </w:r>
      <w:r>
        <w:rPr>
          <w:color w:val="000000"/>
        </w:rPr>
        <w:t xml:space="preserve">ir joje tvarkomų asmens duomenų valdytojas. </w:t>
      </w:r>
    </w:p>
    <w:p w:rsidR="004823E9" w:rsidRDefault="00131094">
      <w:pPr>
        <w:tabs>
          <w:tab w:val="left" w:pos="720"/>
        </w:tabs>
        <w:suppressAutoHyphens/>
        <w:spacing w:line="276" w:lineRule="auto"/>
        <w:ind w:firstLine="62"/>
        <w:jc w:val="both"/>
        <w:rPr>
          <w:bCs/>
        </w:rPr>
      </w:pPr>
    </w:p>
    <w:p w:rsidR="004823E9" w:rsidRDefault="00131094">
      <w:pPr>
        <w:tabs>
          <w:tab w:val="left" w:pos="0"/>
          <w:tab w:val="left" w:pos="1276"/>
        </w:tabs>
        <w:suppressAutoHyphens/>
        <w:spacing w:line="276" w:lineRule="auto"/>
        <w:ind w:firstLine="709"/>
        <w:jc w:val="center"/>
        <w:textAlignment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II</w:t>
      </w:r>
      <w:r>
        <w:rPr>
          <w:b/>
          <w:bCs/>
          <w:caps/>
          <w:color w:val="000000"/>
          <w:szCs w:val="24"/>
        </w:rPr>
        <w:t xml:space="preserve"> SKYRIUS</w:t>
      </w:r>
      <w:r>
        <w:rPr>
          <w:b/>
          <w:color w:val="000000"/>
          <w:szCs w:val="24"/>
          <w:lang w:eastAsia="lt-LT"/>
        </w:rPr>
        <w:t xml:space="preserve"> </w:t>
      </w:r>
    </w:p>
    <w:p w:rsidR="004823E9" w:rsidRDefault="00131094">
      <w:pPr>
        <w:tabs>
          <w:tab w:val="left" w:pos="993"/>
          <w:tab w:val="left" w:pos="1276"/>
        </w:tabs>
        <w:suppressAutoHyphens/>
        <w:spacing w:line="276" w:lineRule="auto"/>
        <w:ind w:firstLine="709"/>
        <w:jc w:val="center"/>
        <w:textAlignment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KURSO TIKSLAS IR IŠKLAUSYMO TVARKA</w:t>
      </w:r>
    </w:p>
    <w:p w:rsidR="004823E9" w:rsidRDefault="004823E9">
      <w:pPr>
        <w:tabs>
          <w:tab w:val="left" w:pos="993"/>
          <w:tab w:val="left" w:pos="1276"/>
        </w:tabs>
        <w:suppressAutoHyphens/>
        <w:spacing w:line="276" w:lineRule="auto"/>
        <w:ind w:firstLine="709"/>
        <w:jc w:val="center"/>
        <w:textAlignment w:val="center"/>
        <w:rPr>
          <w:b/>
          <w:szCs w:val="24"/>
          <w:lang w:eastAsia="lt-LT"/>
        </w:rPr>
      </w:pPr>
    </w:p>
    <w:p w:rsidR="004823E9" w:rsidRDefault="00131094">
      <w:pPr>
        <w:tabs>
          <w:tab w:val="left" w:pos="993"/>
        </w:tabs>
        <w:suppressAutoHyphens/>
        <w:ind w:firstLine="691"/>
        <w:jc w:val="both"/>
      </w:pPr>
      <w:r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. Kurso tikslas – </w:t>
      </w:r>
      <w:r>
        <w:rPr>
          <w:szCs w:val="24"/>
          <w:lang w:eastAsia="lt-LT"/>
        </w:rPr>
        <w:t xml:space="preserve">suteikti </w:t>
      </w:r>
      <w:r>
        <w:t>žinių apie pilietinio pasipriešinimo svarbą ir Lietuvos Respublikos piliečių vaidmenis ginant valstybę, pagrindinius pilietinio pasipriešinimo būdus ir veiksmus.</w:t>
      </w:r>
    </w:p>
    <w:p w:rsidR="004823E9" w:rsidRDefault="00131094">
      <w:pPr>
        <w:suppressAutoHyphens/>
        <w:spacing w:line="276" w:lineRule="auto"/>
        <w:ind w:firstLine="709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4</w:t>
      </w:r>
      <w:r>
        <w:rPr>
          <w:szCs w:val="24"/>
          <w:lang w:eastAsia="lt-LT"/>
        </w:rPr>
        <w:t>. Kurso metu supažindinama su visuotinės ir besąlyginės gynybos samprata, istori</w:t>
      </w:r>
      <w:r>
        <w:rPr>
          <w:szCs w:val="24"/>
          <w:lang w:eastAsia="lt-LT"/>
        </w:rPr>
        <w:t xml:space="preserve">ne Lietuvos pilietinio pasipriešinimo patirtimi, neginkluotu pilietiniu pasipriešinimu, kai </w:t>
      </w:r>
      <w:r>
        <w:rPr>
          <w:color w:val="000000"/>
          <w:shd w:val="clear" w:color="auto" w:fill="FFFFFF"/>
        </w:rPr>
        <w:t>piliečiai dalyvauja valstybės gynyboje naudodami nekarines, nesmurtines priemones, ir ginkluotu pilietiniu pasipriešinimu, kai piliečiai dalyvauja valstybės gynyboj</w:t>
      </w:r>
      <w:r>
        <w:rPr>
          <w:color w:val="000000"/>
          <w:shd w:val="clear" w:color="auto" w:fill="FFFFFF"/>
        </w:rPr>
        <w:t>e naudodami karines priemones, prisijungdami prie Lietuvos ginkluotųjų pajėgų.</w:t>
      </w:r>
    </w:p>
    <w:p w:rsidR="004823E9" w:rsidRDefault="00131094">
      <w:pPr>
        <w:suppressAutoHyphens/>
        <w:spacing w:line="276" w:lineRule="auto"/>
        <w:ind w:firstLine="709"/>
        <w:jc w:val="both"/>
        <w:rPr>
          <w:strike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>
        <w:rPr>
          <w:color w:val="000000"/>
          <w:szCs w:val="24"/>
          <w:lang w:eastAsia="lt-LT"/>
        </w:rPr>
        <w:t xml:space="preserve">. Kursą privalo išklausyti fiziniai asmenys, turintys Lietuvos Respublikos pilietybę, nurodyti Lietuvos Respublikos ginklų ir šaudmenų kontrolės įstatymo 13 straipsnio 15 dalyje, kurie, </w:t>
      </w:r>
      <w:r>
        <w:rPr>
          <w:color w:val="000000"/>
        </w:rPr>
        <w:t>prieš kreipdamiesi į policijos įstaigą dėl leidimo B kategorijos ginkl</w:t>
      </w:r>
      <w:r>
        <w:rPr>
          <w:color w:val="000000"/>
        </w:rPr>
        <w:t>ui išdavimo ar galiojimo termino pratęsimo, taip pat dėl leidimo A ir B kategorijų ginklams išdavimo ar galiojimo termino pratęsimo (toliau – Ginklų savininkas), privalo išklausyti Kursą.</w:t>
      </w:r>
    </w:p>
    <w:p w:rsidR="004823E9" w:rsidRDefault="00131094">
      <w:pPr>
        <w:tabs>
          <w:tab w:val="left" w:pos="993"/>
        </w:tabs>
        <w:suppressAutoHyphens/>
        <w:spacing w:line="276" w:lineRule="auto"/>
        <w:ind w:firstLine="709"/>
        <w:jc w:val="both"/>
        <w:textAlignment w:val="center"/>
        <w:rPr>
          <w:color w:val="000000"/>
        </w:rPr>
      </w:pPr>
      <w:r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>. Ginklų savininkas išklauso Kurso medžiagą, skirtą ginklų savi</w:t>
      </w:r>
      <w:r>
        <w:rPr>
          <w:color w:val="000000"/>
          <w:szCs w:val="24"/>
          <w:lang w:eastAsia="lt-LT"/>
        </w:rPr>
        <w:t xml:space="preserve">ninkams, prisijungęs prie Mobilizacijos mokyklos. </w:t>
      </w:r>
    </w:p>
    <w:p w:rsidR="004823E9" w:rsidRDefault="00131094" w:rsidP="00131094">
      <w:pPr>
        <w:suppressAutoHyphens/>
        <w:spacing w:line="276" w:lineRule="auto"/>
        <w:ind w:firstLine="720"/>
        <w:jc w:val="both"/>
        <w:rPr>
          <w:rFonts w:eastAsia="Calibri"/>
          <w:b/>
          <w:strike/>
          <w:szCs w:val="24"/>
        </w:rPr>
      </w:pPr>
      <w:r>
        <w:t>7</w:t>
      </w:r>
      <w:r>
        <w:t xml:space="preserve">. Išklausius Kursą, Ginklų savininkui Mobilizacijos mokykloje sugeneruojamas Kurso baigimo sertifikatas. </w:t>
      </w:r>
    </w:p>
    <w:bookmarkStart w:id="0" w:name="_GoBack" w:displacedByCustomXml="prev"/>
    <w:p w:rsidR="004823E9" w:rsidRDefault="00131094">
      <w:pPr>
        <w:tabs>
          <w:tab w:val="left" w:pos="0"/>
          <w:tab w:val="left" w:pos="1276"/>
        </w:tabs>
        <w:suppressAutoHyphens/>
        <w:spacing w:line="276" w:lineRule="auto"/>
        <w:ind w:firstLine="567"/>
        <w:jc w:val="center"/>
        <w:textAlignment w:val="center"/>
        <w:rPr>
          <w:szCs w:val="24"/>
        </w:rPr>
      </w:pPr>
      <w:r>
        <w:rPr>
          <w:szCs w:val="24"/>
        </w:rPr>
        <w:t>_________________</w:t>
      </w:r>
    </w:p>
    <w:p w:rsidR="004823E9" w:rsidRDefault="00131094">
      <w:pPr>
        <w:tabs>
          <w:tab w:val="left" w:pos="0"/>
          <w:tab w:val="left" w:pos="1276"/>
        </w:tabs>
        <w:suppressAutoHyphens/>
        <w:ind w:firstLine="567"/>
        <w:jc w:val="center"/>
        <w:textAlignment w:val="center"/>
        <w:rPr>
          <w:szCs w:val="24"/>
        </w:rPr>
      </w:pPr>
    </w:p>
    <w:bookmarkEnd w:id="0" w:displacedByCustomXml="next"/>
    <w:sectPr w:rsidR="004823E9">
      <w:pgSz w:w="11906" w:h="16838"/>
      <w:pgMar w:top="851" w:right="566" w:bottom="1134" w:left="1134" w:header="0" w:footer="0" w:gutter="0"/>
      <w:pgNumType w:start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3E9" w:rsidRDefault="00131094">
      <w:pPr>
        <w:suppressAutoHyphens/>
      </w:pPr>
      <w:r>
        <w:separator/>
      </w:r>
    </w:p>
  </w:endnote>
  <w:endnote w:type="continuationSeparator" w:id="0">
    <w:p w:rsidR="004823E9" w:rsidRDefault="00131094">
      <w:pPr>
        <w:suppressAutoHyphens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3E9" w:rsidRDefault="004823E9">
    <w:pPr>
      <w:tabs>
        <w:tab w:val="center" w:pos="4819"/>
        <w:tab w:val="right" w:pos="9638"/>
      </w:tabs>
      <w:suppressAutoHyphen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3E9" w:rsidRDefault="004823E9">
    <w:pPr>
      <w:tabs>
        <w:tab w:val="center" w:pos="4819"/>
        <w:tab w:val="right" w:pos="9638"/>
      </w:tabs>
      <w:suppressAutoHyphens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3E9" w:rsidRDefault="004823E9">
    <w:pPr>
      <w:tabs>
        <w:tab w:val="center" w:pos="4819"/>
        <w:tab w:val="right" w:pos="9638"/>
      </w:tabs>
      <w:suppressAutoHyphens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3E9" w:rsidRDefault="00131094">
      <w:pPr>
        <w:suppressAutoHyphens/>
      </w:pPr>
      <w:r>
        <w:separator/>
      </w:r>
    </w:p>
  </w:footnote>
  <w:footnote w:type="continuationSeparator" w:id="0">
    <w:p w:rsidR="004823E9" w:rsidRDefault="00131094">
      <w:pPr>
        <w:suppressAutoHyphens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3E9" w:rsidRDefault="004823E9">
    <w:pPr>
      <w:tabs>
        <w:tab w:val="center" w:pos="4819"/>
        <w:tab w:val="right" w:pos="9638"/>
      </w:tabs>
      <w:suppressAutoHyphens/>
      <w:jc w:val="center"/>
    </w:pPr>
  </w:p>
  <w:p w:rsidR="004823E9" w:rsidRDefault="004823E9">
    <w:pPr>
      <w:tabs>
        <w:tab w:val="center" w:pos="4819"/>
        <w:tab w:val="right" w:pos="9638"/>
      </w:tabs>
      <w:suppressAutoHyphens/>
      <w:jc w:val="center"/>
    </w:pPr>
  </w:p>
  <w:p w:rsidR="004823E9" w:rsidRDefault="00131094">
    <w:pPr>
      <w:tabs>
        <w:tab w:val="center" w:pos="4819"/>
        <w:tab w:val="right" w:pos="9638"/>
      </w:tabs>
      <w:suppressAutoHyphens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4823E9" w:rsidRDefault="004823E9">
    <w:pPr>
      <w:tabs>
        <w:tab w:val="center" w:pos="4819"/>
        <w:tab w:val="right" w:pos="9638"/>
      </w:tabs>
      <w:suppressAutoHyphens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3E9" w:rsidRDefault="004823E9">
    <w:pPr>
      <w:tabs>
        <w:tab w:val="center" w:pos="4819"/>
        <w:tab w:val="right" w:pos="9638"/>
      </w:tabs>
      <w:suppressAutoHyphens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3E9" w:rsidRDefault="004823E9">
    <w:pPr>
      <w:tabs>
        <w:tab w:val="center" w:pos="4819"/>
        <w:tab w:val="right" w:pos="9638"/>
      </w:tabs>
      <w:suppressAutoHyphens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2E"/>
    <w:rsid w:val="00131094"/>
    <w:rsid w:val="004823E9"/>
    <w:rsid w:val="00D7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791524"/>
  <w15:docId w15:val="{BBB11699-8FC3-45D2-A5FA-B4CB8951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emf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1CA58C95-A57D-493D-9A74-12013669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2884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2024-01-08T12:21:00Z</dcterms:created>
  <dc:creator>MPPD</dc:creator>
  <dc:language>lt-LT</dc:language>
  <lastModifiedBy>DZIKAITĖ Jolanta</lastModifiedBy>
  <lastPrinted>2018-03-06T06:06:00Z</lastPrinted>
  <dcterms:modified xsi:type="dcterms:W3CDTF">2024-01-08T12:38:00Z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